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7"/>
        <w:gridCol w:w="23"/>
        <w:gridCol w:w="826"/>
        <w:gridCol w:w="389"/>
        <w:gridCol w:w="417"/>
        <w:gridCol w:w="1885"/>
        <w:gridCol w:w="2267"/>
        <w:gridCol w:w="944"/>
        <w:gridCol w:w="1562"/>
        <w:gridCol w:w="78"/>
        <w:gridCol w:w="106"/>
        <w:gridCol w:w="921"/>
        <w:gridCol w:w="165"/>
        <w:gridCol w:w="330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708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8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648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7648"/>
            </w:tblGrid>
            <w:tr>
              <w:tblPrEx/>
              <w:trPr>
                <w:trHeight w:val="628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653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А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втономная некоммерческая образовательная организация</w:t>
                    <w:br w:type="textWrapping" w:clear="all"/>
                    <w:t xml:space="preserve">высшего образования Центросоюза Российской Федерации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restart"/>
            <w:textDirection w:val="lrTb"/>
            <w:noWrap w:val="false"/>
          </w:tcPr>
          <w:p>
            <w:pPr>
              <w:pStyle w:val="1002"/>
            </w:pPr>
            <w:r>
              <w:rPr>
                <w:lang w:val="ru-RU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36505" cy="1254623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36504" cy="12546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5.87pt;height:98.79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6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6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8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85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5" w:type="dxa"/>
            <w:vAlign w:val="top"/>
            <w:vMerge w:val="continue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58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6658"/>
            </w:tblGrid>
            <w:tr>
              <w:tblPrEx/>
              <w:trPr>
                <w:trHeight w:val="770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66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8"/>
                    </w:rPr>
                    <w:t xml:space="preserve">СИБИРСКИЙ   УНИВЕРСИТЕТ ПОТРЕБИТЕЛЬСКОЙ   КООПЕРАЦИИ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75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5" w:type="dxa"/>
            <w:vAlign w:val="top"/>
            <w:vMerge w:val="continue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94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61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361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614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b/>
                      <w:color w:val="000000"/>
                      <w:sz w:val="28"/>
                    </w:rPr>
                    <w:t xml:space="preserve">УТВЕРЖДАЮ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7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06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4106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110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Заведующий кафедрой</w:t>
                    <w:br w:type="textWrapping" w:clear="all"/>
                    <w:t xml:space="preserve">философии и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истории</w:t>
                    <w:br w:type="textWrapping" w:clear="all"/>
                  </w: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790575" cy="647700"/>
                            <wp:effectExtent l="0" t="0" r="0" b="0"/>
                            <wp:docPr id="2" name="_x0000_i102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90575" cy="647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" o:spid="_x0000_s1" type="#_x0000_t75" style="width:62.25pt;height:51.00pt;mso-wrap-distance-left:0.00pt;mso-wrap-distance-top:0.00pt;mso-wrap-distance-right:0.00pt;mso-wrap-distance-bottom:0.00pt;" stroked="f">
                            <v:path textboxrect="0,0,0,0"/>
                            <v:imagedata r:id="rId11" o:title=""/>
                          </v:shape>
                        </w:pict>
                      </mc:Fallback>
                    </mc:AlternateConten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О. А. Гербер</w:t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27.05.26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г.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708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3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7153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15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 xml:space="preserve">РАБОЧАЯ ПРОГРАММА ДИСЦИПЛИНЫ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11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560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560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История (история России, всеобщая история)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50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1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583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583"/>
            </w:tblGrid>
            <w:tr>
              <w:tblPrEx/>
              <w:trPr>
                <w:trHeight w:val="420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590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32"/>
                    </w:rPr>
                    <w:t xml:space="preserve">Направление подготовки: 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30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50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1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583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583"/>
            </w:tblGrid>
            <w:tr>
              <w:tblPrEx/>
              <w:trPr>
                <w:trHeight w:val="420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590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 xml:space="preserve">09.03.03</w:t>
                  </w:r>
                  <w:r>
                    <w:rPr>
                      <w:color w:val="000000"/>
                      <w:sz w:val="32"/>
                    </w:rPr>
                    <w:t xml:space="preserve"> Прикладная информатика</w:t>
                  </w:r>
                  <w:r/>
                </w:p>
                <w:p>
                  <w:pPr>
                    <w:pStyle w:val="1002"/>
                  </w:pPr>
                  <w:r/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39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11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560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560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32"/>
                      <w:lang w:val="ru-RU"/>
                    </w:rPr>
                    <w:t xml:space="preserve">Направленность (профиль): «Прикладная информатика в информационной сфере»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11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560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560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32"/>
                    </w:rPr>
                    <w:t xml:space="preserve">Квалификация: Бакалавр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11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560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560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color w:val="000000"/>
                      <w:sz w:val="32"/>
                      <w:lang w:val="ru-RU"/>
                    </w:rPr>
                  </w:pPr>
                  <w:r>
                    <w:rPr>
                      <w:color w:val="000000"/>
                      <w:sz w:val="32"/>
                    </w:rPr>
                    <w:t xml:space="preserve">Трудоемкость 4 з.е.</w:t>
                  </w:r>
                  <w:r>
                    <w:rPr>
                      <w:color w:val="000000"/>
                      <w:sz w:val="32"/>
                      <w:lang w:val="ru-RU"/>
                    </w:rPr>
                  </w:r>
                  <w:r>
                    <w:rPr>
                      <w:color w:val="000000"/>
                      <w:sz w:val="32"/>
                      <w:lang w:val="ru-RU"/>
                    </w:rPr>
                  </w:r>
                </w:p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sz w:val="32"/>
                      <w:szCs w:val="32"/>
                      <w:lang w:val="ru-RU"/>
                    </w:rPr>
                    <w:t xml:space="preserve">Год начала подготовки</w:t>
                  </w:r>
                  <w:r>
                    <w:rPr>
                      <w:sz w:val="32"/>
                      <w:szCs w:val="32"/>
                      <w:lang w:val="ru-RU"/>
                    </w:rPr>
                    <w:t xml:space="preserve">: 2024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02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3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7153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15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32"/>
                    </w:rPr>
                    <w:t xml:space="preserve">Новосибирск 2026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18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9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8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1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3211"/>
            </w:tblGrid>
            <w:tr>
              <w:tblPrEx/>
              <w:trPr>
                <w:trHeight w:val="6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2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/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6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</w:tbl>
    <w:p>
      <w:pPr>
        <w:pStyle w:val="1002"/>
      </w:pPr>
      <w:r>
        <w:br w:type="page" w:clear="all"/>
      </w:r>
      <w:r/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7"/>
        <w:gridCol w:w="1133"/>
        <w:gridCol w:w="992"/>
        <w:gridCol w:w="1370"/>
        <w:gridCol w:w="3212"/>
        <w:gridCol w:w="2503"/>
        <w:gridCol w:w="425"/>
        <w:gridCol w:w="283"/>
      </w:tblGrid>
      <w:tr>
        <w:tblPrEx/>
        <w:trPr>
          <w:trHeight w:val="1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3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7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1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  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Рабочая п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рограмма дисциплины </w:t>
                  </w:r>
                  <w:r>
                    <w:rPr>
                      <w:i/>
                      <w:color w:val="000000"/>
                      <w:sz w:val="28"/>
                      <w:lang w:val="ru-RU"/>
                    </w:rPr>
                    <w:t xml:space="preserve">История (история России, всеобщая история)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составлена в соответствии с требованиями федерального государственного образовательного стандарта по направлению подготовки 09.03.03 Прикладная информатика, утвержденного приказом Министерства образования и науки Российской Федерации от 19.09.2017 № 922.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3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7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1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33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1133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133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b/>
                      <w:color w:val="000000"/>
                      <w:sz w:val="28"/>
                    </w:rPr>
                    <w:t xml:space="preserve">АВТОР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077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807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8078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О. А. Гербер, канд.ист.наук, зав. кафедрой, кафедра философии и истории; 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4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3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7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1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210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2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3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7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1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2125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12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b/>
                      <w:color w:val="000000"/>
                      <w:sz w:val="28"/>
                    </w:rPr>
                    <w:t xml:space="preserve">РЕЦЕНЗЕНТ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7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1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Коровушкин Д.Г., д-р истор. наук, профессор кафедры философии и истории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10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3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7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1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 xml:space="preserve">РЕКОМЕНДОВАНО К ИСПОЛЬЗОВАНИЮ В УЧЕБНОМ ПРОЦЕССЕ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на заседании кафедры философии и истории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протокол от 27.05.2026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г. № 8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2474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3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7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1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3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7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12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3212"/>
            </w:tblGrid>
            <w:tr>
              <w:tblPrEx/>
              <w:trPr>
                <w:trHeight w:val="6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2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</w:tbl>
    <w:p>
      <w:pPr>
        <w:pStyle w:val="1002"/>
        <w:rPr>
          <w:lang w:val="ru-RU"/>
        </w:rPr>
      </w:pPr>
      <w:r>
        <w:rPr>
          <w:lang w:val="ru-RU"/>
        </w:rPr>
        <w:br w:type="page" w:clear="all"/>
      </w:r>
      <w:r>
        <w:rPr>
          <w:lang w:val="ru-RU"/>
        </w:rPr>
      </w:r>
      <w:r>
        <w:rPr>
          <w:lang w:val="ru-RU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2"/>
        <w:gridCol w:w="23"/>
        <w:gridCol w:w="6"/>
        <w:gridCol w:w="1240"/>
        <w:gridCol w:w="7156"/>
        <w:gridCol w:w="1144"/>
        <w:gridCol w:w="72"/>
        <w:gridCol w:w="23"/>
        <w:gridCol w:w="283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7156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15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 xml:space="preserve">1. ЦЕЛЬ ОСВОЕНИЯ ДИСЦИПЛИНЫ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14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 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Целью освоения дисциплины «История  (история России, всеобщая история)» является формирование у обучающихся представления о культурно-историческом своеобразии России и её месте в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мировой и европейской цивилизации, об основных закономерностях и особенностях всемирно-исторического процесса и их влиянии на социально-экономическую и политическую жизнь страны; развитие аналитического мышления, навыков публичных выступлений и дискуссий.</w:t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Задачи освоения дисциплины «История (история России, всеобщая история)»:</w:t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• подготовка обучающихся к личной ориентации в современном мире, к свободному выбору своих мировоззренческих позиций и развитию творческих способностей;</w:t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• углубление и систематизация исторических знаний;</w:t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• формирование аналитического мышления, позволяющего выявлять сущность основных событий истории, этапы и закономерности исторического развития общества;</w:t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• обучение студентов самостоятельности и критичности при оценке различных интерпретаций событий истории;</w:t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• формирование гражданской позиции.</w:t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10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2. ПЛАНИРУЕМЫЕ РЕЗУЛЬТАТЫ ОБУЧЕНИЯ ПО ДИСЦИПЛИНЕ, СООТНЕСЕННЫЕ С РЕЗУЛЬТАТАМИ ОСВОЕНИЯ ОБРАЗОВАТЕЛЬНОЙ ПРОГРАММЫ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3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540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2463"/>
              <w:gridCol w:w="2631"/>
              <w:gridCol w:w="4426"/>
            </w:tblGrid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467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Результаты освоения ООП: код и формулировка компетенции (в соответствии с учебным планом) или ее части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Код и формулировка индикатора достижения компетенций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439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Планируемые результаты обучения по дисциплине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467" w:type="dxa"/>
                  <w:vAlign w:val="top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УК-1 Способен осуществлять поиск, критический анализ и синтез информации, применять системный подход для решения поставленных задач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УК-1.2 Работает с достоверными источниками информации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43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 xml:space="preserve"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  <w:br w:type="textWrapping" w:clear="all"/>
                    <w:t xml:space="preserve">-основные способы сбора, обработки, анализа и наглядного представления материала. </w:t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</w:rPr>
                    <w:t xml:space="preserve">Умеет: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  <w:t xml:space="preserve">-обобщать информацию, формировать суждения и аргументировать выводы.</w:t>
                  </w:r>
                  <w:r/>
                </w:p>
                <w:p>
                  <w:pPr>
                    <w:pStyle w:val="1002"/>
                  </w:pPr>
                  <w:r/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467" w:type="dxa"/>
                  <w:vAlign w:val="top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УК-1.3 Критически анализирует и обобщает информацию для решения поставленных задач, применяя теоретические и эмпирические, количественные и качественные методы, системный подход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43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 xml:space="preserve"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  <w:br w:type="textWrapping" w:clear="all"/>
                    <w:t xml:space="preserve">-теоретические и эмпирические методы. </w:t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 xml:space="preserve">Умеет: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 xml:space="preserve">-применять теоретические и эмпирические методы.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467" w:type="dxa"/>
                  <w:vAlign w:val="top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УК-1.4 Оценивая процессы и результаты, формирует собственные мнения и суждения, аргументирует выводы и точку зрения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43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 xml:space="preserve"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  <w:br w:type="textWrapping" w:clear="all"/>
                    <w:t xml:space="preserve">-способы и методы оценки, теорию аргументации. </w:t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 xml:space="preserve">Умеет: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 xml:space="preserve">-формировать собственное мнение и точку зрения.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467" w:type="dxa"/>
                  <w:vAlign w:val="top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УК-5 Способен воспринимать межкультурное разнообразие общества в социально-историческом, этическом и философском контекстах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УК-5.2 Толерантно воспринимает межкультурное разнообразие, исходя из социально-исторического, этического и философского контекстов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43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 xml:space="preserve"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  <w:br w:type="textWrapping" w:clear="all"/>
                    <w:t xml:space="preserve">-события, этапы, закономерности и процессы исторического развития общества . </w:t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</w:rPr>
                    <w:t xml:space="preserve">Умеет: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  <w:t xml:space="preserve">-интерпретировать ситуации межкультурного взаимодействия в культурно-историческом контексте.</w:t>
                  </w:r>
                  <w:r/>
                </w:p>
                <w:p>
                  <w:pPr>
                    <w:pStyle w:val="1002"/>
                  </w:pPr>
                  <w:r/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467" w:type="dxa"/>
                  <w:vAlign w:val="top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УК-5.4 Анализирует конфликтные ситуации в целях их профилактики и прогнозирования, опираясь на культурно-психологические особенности оппонентов, историческое и философское знание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43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 xml:space="preserve"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  <w:br w:type="textWrapping" w:clear="all"/>
                    <w:t xml:space="preserve">-теорию социально-политических конфликтов (сущность и причины). </w:t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</w:rPr>
                    <w:t xml:space="preserve">Умеет: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  <w:t xml:space="preserve">-анализировать и способствовать предупреждению и разрешению конфликтных ситуаций.</w:t>
                  </w:r>
                  <w:r/>
                </w:p>
                <w:p>
                  <w:pPr>
                    <w:pStyle w:val="1002"/>
                  </w:pPr>
                  <w:r/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15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3. МЕСТО ДИСЦИПЛИНЫ В СТРУКТУРЕ ОБРАЗОВАТЕЛЬНОЙ ПРОГРАММЫ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Дисциплина «История (история России, всеобщая история)» относится к обязательной части учебного плана подготовки бакалавра по направлению 09.03.03 Прикладная информатика.</w:t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Изучение дисциплины «История (история России, всеобщая история)» базируется на знаниях и умениях, полученных при изучении школьного предмета История.</w:t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Освоение дисциплины необходимо как предшествующее при изучении  дисциплины  «Философия».</w:t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  <w:r>
                    <w:rPr>
                      <w:color w:val="000000"/>
                      <w:sz w:val="28"/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  <w:p>
                  <w:pPr>
                    <w:pStyle w:val="1002"/>
                    <w:jc w:val="both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10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4. ОБЪЕМ ДИСЦИПЛИНЫ И ВИДЫ УЧЕБНОЙ РАБОТЫ </w:t>
                    <w:br w:type="textWrapping" w:clear="all"/>
                    <w:t xml:space="preserve">ПО ФОРМАМ И СРОКАМ ОБУЧЕНИЯ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8"/>
                    </w:rPr>
                    <w:t xml:space="preserve">Очная форма обучения - 1 семестр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14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6223"/>
              <w:gridCol w:w="3392"/>
            </w:tblGrid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Вид занятия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Часов по учебному плану</w:t>
                  </w:r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Контактная работа с преподавателем: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75</w:t>
                  </w:r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-занятия лекционного типа, в том числе: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36</w:t>
                  </w:r>
                  <w:r/>
                </w:p>
              </w:tc>
            </w:tr>
            <w:tr>
              <w:tblPrEx/>
              <w:trPr>
                <w:trHeight w:val="260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          практическая подготовка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-занятия семинарского типа: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/>
                  <w:r/>
                </w:p>
              </w:tc>
            </w:tr>
            <w:tr>
              <w:tblPrEx/>
              <w:trPr>
                <w:trHeight w:val="260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-семинарские/практические, в том числе: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36</w:t>
                  </w:r>
                  <w:r/>
                </w:p>
              </w:tc>
            </w:tr>
            <w:tr>
              <w:tblPrEx/>
              <w:trPr>
                <w:trHeight w:val="260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          практическая подготовка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     -лабораторные, в том числе: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60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          практическая подготовка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-консультации, в том числе по курсовой работе (проекту)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3</w:t>
                  </w:r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Самостоятельная работа: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33</w:t>
                  </w:r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т.ч. курсовая работа (проект)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88"/>
              </w:trPr>
              <w:tc>
                <w:tcPr>
                  <w:gridSpan w:val="2"/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Промежуточная аттестация:</w:t>
                  </w:r>
                  <w:r/>
                </w:p>
              </w:tc>
            </w:tr>
            <w:tr>
              <w:tblPrEx/>
              <w:trPr>
                <w:trHeight w:val="260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     экзамен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36</w:t>
                  </w:r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20" w:type="dxa"/>
                    <w:right w:w="40" w:type="dxa"/>
                    <w:bottom w:w="2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b/>
                      <w:color w:val="000000"/>
                      <w:sz w:val="28"/>
                    </w:rPr>
                    <w:t xml:space="preserve">Общая трудоемкость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144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13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8"/>
                    </w:rPr>
                    <w:t xml:space="preserve">Заочная форма обучения - 1 курс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232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6227"/>
              <w:gridCol w:w="3394"/>
            </w:tblGrid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Вид занятия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Часов по учебному плану</w:t>
                  </w:r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Контактная работа с преподавателем: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20</w:t>
                  </w:r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-занятия лекционного типа, в том числе: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6</w:t>
                  </w:r>
                  <w:r/>
                </w:p>
              </w:tc>
            </w:tr>
            <w:tr>
              <w:tblPrEx/>
              <w:trPr>
                <w:trHeight w:val="260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          практическая подготовка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-занятия семинарского типа: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/>
                  <w:r/>
                </w:p>
              </w:tc>
            </w:tr>
            <w:tr>
              <w:tblPrEx/>
              <w:trPr>
                <w:trHeight w:val="260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-семинарские/практические, в том числе: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6</w:t>
                  </w:r>
                  <w:r/>
                </w:p>
              </w:tc>
            </w:tr>
            <w:tr>
              <w:tblPrEx/>
              <w:trPr>
                <w:trHeight w:val="260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          практическая подготовка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     -лабораторные, в том числе: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60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          практическая подготовка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-консультации, в том числе по курсовой работе (проекту)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8</w:t>
                  </w:r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Самостоятельная работа: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115</w:t>
                  </w:r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т.ч. курсовая работа (проект)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 xml:space="preserve">контрольная работа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+</w:t>
                  </w:r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gridSpan w:val="2"/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Промежуточная аттестация:</w:t>
                  </w:r>
                  <w:r/>
                </w:p>
              </w:tc>
            </w:tr>
            <w:tr>
              <w:tblPrEx/>
              <w:trPr>
                <w:trHeight w:val="260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8"/>
                    </w:rPr>
                    <w:t xml:space="preserve">     экзамен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9</w:t>
                  </w:r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20" w:type="dxa"/>
                    <w:right w:w="40" w:type="dxa"/>
                    <w:bottom w:w="20" w:type="dxa"/>
                  </w:tcMar>
                  <w:tcW w:w="62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b/>
                      <w:color w:val="000000"/>
                      <w:sz w:val="28"/>
                    </w:rPr>
                    <w:t xml:space="preserve">Общая трудоемкость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40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8"/>
                    </w:rPr>
                    <w:t xml:space="preserve">144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 xml:space="preserve">5. СОДЕРЖАНИЕ ДИСЦИПЛИНЫ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14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8"/>
                    </w:rPr>
                    <w:t xml:space="preserve">Очная форма обучения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14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4"/>
              <w:gridCol w:w="1134"/>
            </w:tblGrid>
            <w:tr>
              <w:tblPrEx/>
              <w:trPr>
                <w:gridAfter w:val="5"/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5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Количество часов по видам учебной работы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gridAfter w:val="3"/>
                <w:trHeight w:val="279"/>
              </w:trPr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86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контактная работа с преподавателем</w:t>
                  </w:r>
                  <w:r/>
                </w:p>
              </w:tc>
            </w:tr>
            <w:tr>
              <w:tblPrEx/>
              <w:trPr>
                <w:gridAfter w:val="1"/>
                <w:trHeight w:val="260"/>
              </w:trPr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br w:type="textWrapping" w:clear="all"/>
                    <w:br w:type="textWrapping" w:clear="all"/>
                    <w:br w:type="textWrapping" w:clear="all"/>
                    <w:t xml:space="preserve">№</w:t>
                  </w:r>
                  <w:r/>
                </w:p>
              </w:tc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br w:type="textWrapping" w:clear="all"/>
                    <w:br w:type="textWrapping" w:clear="all"/>
                    <w:br w:type="textWrapping" w:clear="all"/>
                    <w:t xml:space="preserve">Раздел / Тема дисциплины</w:t>
                  </w:r>
                  <w:r/>
                </w:p>
              </w:tc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ВСЕГО</w:t>
                  </w:r>
                  <w:r/>
                </w:p>
              </w:tc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СР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занятия лекционного типа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91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занятия семинарского типа: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консультации, в том числе по курсовой работе (проекту)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семи-нарские/ практи-ческие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лабора-торные</w:t>
                  </w:r>
                  <w:r/>
                </w:p>
              </w:tc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История в системе социально-гуманитарных наук. Основы методологии исторической науки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Становление древнерусского государства. Киевская Русь  в </w:t>
                  </w:r>
                  <w:r>
                    <w:rPr>
                      <w:color w:val="000000"/>
                      <w:sz w:val="24"/>
                    </w:rPr>
                    <w:t xml:space="preserve">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-</w:t>
                  </w:r>
                  <w:r>
                    <w:rPr>
                      <w:color w:val="000000"/>
                      <w:sz w:val="24"/>
                    </w:rPr>
                    <w:t xml:space="preserve">XI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3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Политическая раздробленность Руси.  Русь под властью </w:t>
                  </w:r>
                  <w:r>
                    <w:rPr>
                      <w:color w:val="000000"/>
                      <w:sz w:val="24"/>
                    </w:rPr>
                    <w:t xml:space="preserve">Золотой Орды.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Образование и развитие Московской Руси. Конец </w:t>
                  </w:r>
                  <w:r>
                    <w:rPr>
                      <w:color w:val="000000"/>
                      <w:sz w:val="24"/>
                    </w:rPr>
                    <w:t xml:space="preserve">XIII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-</w:t>
                  </w:r>
                  <w:r>
                    <w:rPr>
                      <w:color w:val="000000"/>
                      <w:sz w:val="24"/>
                    </w:rPr>
                    <w:t xml:space="preserve">XVI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5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Россия в </w:t>
                  </w:r>
                  <w:r>
                    <w:rPr>
                      <w:color w:val="000000"/>
                      <w:sz w:val="24"/>
                    </w:rPr>
                    <w:t xml:space="preserve">XVII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 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Россия в </w:t>
                  </w:r>
                  <w:r>
                    <w:rPr>
                      <w:color w:val="000000"/>
                      <w:sz w:val="24"/>
                    </w:rPr>
                    <w:t xml:space="preserve">XVIII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в.: попытка модернизации страны.  Становление и развитие российской империи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10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7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Российская империя в первой  половине Х</w:t>
                  </w:r>
                  <w:r>
                    <w:rPr>
                      <w:color w:val="000000"/>
                      <w:sz w:val="24"/>
                    </w:rPr>
                    <w:t xml:space="preserve">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Х века.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Российская империя во второй половине Х</w:t>
                  </w:r>
                  <w:r>
                    <w:rPr>
                      <w:color w:val="000000"/>
                      <w:sz w:val="24"/>
                    </w:rPr>
                    <w:t xml:space="preserve">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Х века.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9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Россия и мир на рубеже </w:t>
                  </w:r>
                  <w:r>
                    <w:rPr>
                      <w:color w:val="000000"/>
                      <w:sz w:val="24"/>
                    </w:rPr>
                    <w:t xml:space="preserve"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-ХХ вв.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10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Революционный процесс 1917 г.  и гражданская война (1917-1922) в России. </w:t>
                  </w:r>
                  <w:r>
                    <w:rPr>
                      <w:color w:val="000000"/>
                      <w:sz w:val="24"/>
                    </w:rPr>
                    <w:t xml:space="preserve">Мировое революционное движение.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11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Мир в 1920-30-е годы. Советская модернизация. Формирование тоталитарных режимов.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10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Вторая Мировая война (1939-1945) и Великая Отечественная война (1941-1945). Послевоенной мир и начало «Холодной войны» (1945 – 1953).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13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Мир в 1953-1985 гг. Советское государство и общество в 1950-середине 1980-х гг. 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7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3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СССР в период «перестройки». Межкультурное разнообразие общества в социально-историческом контексте. </w:t>
                  </w:r>
                  <w:r>
                    <w:rPr>
                      <w:color w:val="000000"/>
                      <w:sz w:val="24"/>
                    </w:rPr>
                    <w:t xml:space="preserve">Влияние кризиса социалистической системы на мировые процессы.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15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Трансформация мировой системы (1992-2000). Россия и страны СНГ.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6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2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Россия и мир в </w:t>
                  </w:r>
                  <w:r>
                    <w:rPr>
                      <w:color w:val="000000"/>
                      <w:sz w:val="24"/>
                    </w:rPr>
                    <w:t xml:space="preserve">XXI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веке.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gridSpan w:val="2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08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Подготовка и защита курсовой работы (проекта)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gridSpan w:val="2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08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</w:rPr>
                    <w:t xml:space="preserve">Промежуточная аттестация (экзамен)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36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35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gridSpan w:val="2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08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ИТОГО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144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3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68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36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36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32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8"/>
                    </w:rPr>
                    <w:t xml:space="preserve">Заочная форма обучения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15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4"/>
              <w:gridCol w:w="1134"/>
            </w:tblGrid>
            <w:tr>
              <w:tblPrEx/>
              <w:trPr>
                <w:gridAfter w:val="5"/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655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Количество часов по видам учебной работы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gridAfter w:val="3"/>
                <w:trHeight w:val="279"/>
              </w:trPr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86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контактная работа с преподавателем</w:t>
                  </w:r>
                  <w:r/>
                </w:p>
              </w:tc>
            </w:tr>
            <w:tr>
              <w:tblPrEx/>
              <w:trPr>
                <w:gridAfter w:val="1"/>
                <w:trHeight w:val="260"/>
              </w:trPr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br w:type="textWrapping" w:clear="all"/>
                    <w:br w:type="textWrapping" w:clear="all"/>
                    <w:t xml:space="preserve">№</w:t>
                  </w:r>
                  <w:r/>
                </w:p>
              </w:tc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br w:type="textWrapping" w:clear="all"/>
                    <w:br w:type="textWrapping" w:clear="all"/>
                    <w:t xml:space="preserve">Раздел / Тема дисциплины</w:t>
                  </w:r>
                  <w:r/>
                </w:p>
              </w:tc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ВСЕГО</w:t>
                  </w:r>
                  <w:r/>
                </w:p>
              </w:tc>
              <w:tc>
                <w:tcPr>
                  <w:tcBorders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СР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занятия лекционного типа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910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занятия семинарского типа: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консультации, в том числе по курсовой работе (проекту)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семи-нарские/ практи-ческие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лабора-торные</w:t>
                  </w:r>
                  <w:r/>
                </w:p>
              </w:tc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История в системе социально-гуманитарных наук. Основы методологии исторической науки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Становление древнерусского государства. Киевская Русь  в </w:t>
                  </w:r>
                  <w:r>
                    <w:rPr>
                      <w:color w:val="000000"/>
                      <w:sz w:val="24"/>
                    </w:rPr>
                    <w:t xml:space="preserve">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-</w:t>
                  </w:r>
                  <w:r>
                    <w:rPr>
                      <w:color w:val="000000"/>
                      <w:sz w:val="24"/>
                    </w:rPr>
                    <w:t xml:space="preserve">XI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3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Политическая раздробленность Руси.  Русь под властью </w:t>
                  </w:r>
                  <w:r>
                    <w:rPr>
                      <w:color w:val="000000"/>
                      <w:sz w:val="24"/>
                    </w:rPr>
                    <w:t xml:space="preserve">Золотой Орды.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Образование и развитие Московской Руси. Конец </w:t>
                  </w:r>
                  <w:r>
                    <w:rPr>
                      <w:color w:val="000000"/>
                      <w:sz w:val="24"/>
                    </w:rPr>
                    <w:t xml:space="preserve">XIII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-</w:t>
                  </w:r>
                  <w:r>
                    <w:rPr>
                      <w:color w:val="000000"/>
                      <w:sz w:val="24"/>
                    </w:rPr>
                    <w:t xml:space="preserve">XVI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5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Россия в </w:t>
                  </w:r>
                  <w:r>
                    <w:rPr>
                      <w:color w:val="000000"/>
                      <w:sz w:val="24"/>
                    </w:rPr>
                    <w:t xml:space="preserve">XVII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 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Россия в </w:t>
                  </w:r>
                  <w:r>
                    <w:rPr>
                      <w:color w:val="000000"/>
                      <w:sz w:val="24"/>
                    </w:rPr>
                    <w:t xml:space="preserve">XVIII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в.: попытка модернизации страны.  Становление и развитие российской империи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7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Российская империя в первой  половине Х</w:t>
                  </w:r>
                  <w:r>
                    <w:rPr>
                      <w:color w:val="000000"/>
                      <w:sz w:val="24"/>
                    </w:rPr>
                    <w:t xml:space="preserve">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Х века.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Российская империя во второй половине Х</w:t>
                  </w:r>
                  <w:r>
                    <w:rPr>
                      <w:color w:val="000000"/>
                      <w:sz w:val="24"/>
                    </w:rPr>
                    <w:t xml:space="preserve">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Х века.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9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Россия и мир на рубеже </w:t>
                  </w:r>
                  <w:r>
                    <w:rPr>
                      <w:color w:val="000000"/>
                      <w:sz w:val="24"/>
                    </w:rPr>
                    <w:t xml:space="preserve"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-ХХ вв.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10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10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Революционный процесс 1917 г.  и гражданская война (1917-1922) в России. </w:t>
                  </w:r>
                  <w:r>
                    <w:rPr>
                      <w:color w:val="000000"/>
                      <w:sz w:val="24"/>
                    </w:rPr>
                    <w:t xml:space="preserve">Мировое революционное движение.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11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Мир в 1920-30-е годы. Советская модернизация. Формирование тоталитарных режимов.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10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Вторая Мировая война (1939-1945) и Великая Отечественная война (1941-1945). Послевоенной мир и начало «Холодной войны» (1945 – 1953).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10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13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Мир в 1953-1985 гг. Советское государство и общество в 1950-середине 1980-х гг. 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СССР в период «перестройки». Межкультурное разнообразие общества в социально-историческом контексте. </w:t>
                  </w:r>
                  <w:r>
                    <w:rPr>
                      <w:color w:val="000000"/>
                      <w:sz w:val="24"/>
                    </w:rPr>
                    <w:t xml:space="preserve">Влияние кризиса социалистической системы на мировые процессы.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10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15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Трансформация мировой системы (1992-2000). Россия и страны СНГ.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10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88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61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Россия и мир в </w:t>
                  </w:r>
                  <w:r>
                    <w:rPr>
                      <w:color w:val="000000"/>
                      <w:sz w:val="24"/>
                    </w:rPr>
                    <w:t xml:space="preserve">XXI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веке.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11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11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gridSpan w:val="2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07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Подготовка и защита курсовой работы (проекта) / подготовка контрольной работы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gridSpan w:val="2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07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</w:rPr>
                    <w:t xml:space="preserve">Промежуточная аттестация (экзамен)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9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gridSpan w:val="2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307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ИТОГО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144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7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123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39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7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3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/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1558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9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p>
            <w:pPr>
              <w:pStyle w:val="1002"/>
            </w:pPr>
            <w:r/>
            <w:r/>
          </w:p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6. УЧЕБНО-МЕТОДИЧЕСКОЕ ОБЕСПЕЧЕНИЕ ДЛЯ САМОСТОЯТЕЛЬНОЙ РАБОТЫ ОБУЧАЮЩИХСЯ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4528"/>
              <w:gridCol w:w="4527"/>
            </w:tblGrid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№</w:t>
                    <w:br w:type="textWrapping" w:clear="all"/>
                    <w:t xml:space="preserve">п/п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Темы дисциплины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Перечень основной и дополнительной литературы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1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История в системе социально-гуманитарных наук. Основы методологии исторической науки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1,2,8,9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Становление древнерусского государства. Киевская Русь  в </w:t>
                  </w:r>
                  <w:r>
                    <w:rPr>
                      <w:color w:val="000000"/>
                      <w:sz w:val="24"/>
                    </w:rPr>
                    <w:t xml:space="preserve">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-</w:t>
                  </w:r>
                  <w:r>
                    <w:rPr>
                      <w:color w:val="000000"/>
                      <w:sz w:val="24"/>
                    </w:rPr>
                    <w:t xml:space="preserve">XI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2,3,4,5,8,9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3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Политическая раздробленность Руси.  Русь под властью </w:t>
                  </w:r>
                  <w:r>
                    <w:rPr>
                      <w:color w:val="000000"/>
                      <w:sz w:val="24"/>
                    </w:rPr>
                    <w:t xml:space="preserve">Золотой Орды.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1,2,4,5,8,9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Образование и развитие Московской Руси. Конец </w:t>
                  </w:r>
                  <w:r>
                    <w:rPr>
                      <w:color w:val="000000"/>
                      <w:sz w:val="24"/>
                    </w:rPr>
                    <w:t xml:space="preserve">XIII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-</w:t>
                  </w:r>
                  <w:r>
                    <w:rPr>
                      <w:color w:val="000000"/>
                      <w:sz w:val="24"/>
                    </w:rPr>
                    <w:t xml:space="preserve">XVI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2,3,4,5,8,9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5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Россия в </w:t>
                  </w:r>
                  <w:r>
                    <w:rPr>
                      <w:color w:val="000000"/>
                      <w:sz w:val="24"/>
                    </w:rPr>
                    <w:t xml:space="preserve">XVII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 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2,3,4,5,8,9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Россия в </w:t>
                  </w:r>
                  <w:r>
                    <w:rPr>
                      <w:color w:val="000000"/>
                      <w:sz w:val="24"/>
                    </w:rPr>
                    <w:t xml:space="preserve">XVIII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в.: попытка модернизации страны.  Становление и развитие российской империи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2,3,4,5,9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7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Российская империя в первой половине Х</w:t>
                  </w:r>
                  <w:r>
                    <w:rPr>
                      <w:color w:val="000000"/>
                      <w:sz w:val="24"/>
                    </w:rPr>
                    <w:t xml:space="preserve">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Х века.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2,3,4,5,8,9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Российская империя во второй половине Х</w:t>
                  </w:r>
                  <w:r>
                    <w:rPr>
                      <w:color w:val="000000"/>
                      <w:sz w:val="24"/>
                    </w:rPr>
                    <w:t xml:space="preserve">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Х века.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1,2,3,4,5,9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9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Россия и мир на рубеже </w:t>
                  </w:r>
                  <w:r>
                    <w:rPr>
                      <w:color w:val="000000"/>
                      <w:sz w:val="24"/>
                    </w:rPr>
                    <w:t xml:space="preserve"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-ХХ вв.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1,2,3,4,5,8,9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10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Революционный процесс 1917 г.  и гражданская война (1917-1922) в России. </w:t>
                  </w:r>
                  <w:r>
                    <w:rPr>
                      <w:color w:val="000000"/>
                      <w:sz w:val="24"/>
                    </w:rPr>
                    <w:t xml:space="preserve">Мировое революционное движение.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1,2,3,4,5,8,9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11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Мир в 1920-30-е годы. Советская модернизация. Формирование тоталитарных режимов.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1,2,3,4,5,9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12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Вторая Мировая война (1939-1945) и Великая Отечественная война (1941-1945). Послевоенной мир и начало «Холодной войны» (1945 – 1953).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1,2,3,4,5,7,9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13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Мир в 1953-1985 гг. Советское государство и общество в 1950-середине 1980-х гг. 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2,3,4,5,7,8,9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14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СССР в период «перестройки». Межкультурное разнообразие общества в социально-историческом контексте.  </w:t>
                  </w:r>
                  <w:r>
                    <w:rPr>
                      <w:color w:val="000000"/>
                      <w:sz w:val="24"/>
                    </w:rPr>
                    <w:t xml:space="preserve">Влияние кризиса социалистической системы на мировые процессы.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2,3,4,5,6,7,8,9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15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Трансформация мировой системы (1992-2000). Россия и страны СНГ.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2,</w:t>
                  </w:r>
                  <w:r>
                    <w:rPr>
                      <w:color w:val="000000"/>
                      <w:sz w:val="24"/>
                    </w:rPr>
                    <w:t xml:space="preserve">4,5,6,9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4"/>
                    </w:rPr>
                    <w:t xml:space="preserve">16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Россия и мир в </w:t>
                  </w:r>
                  <w:r>
                    <w:rPr>
                      <w:color w:val="000000"/>
                      <w:sz w:val="24"/>
                    </w:rPr>
                    <w:t xml:space="preserve">XXI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веке.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53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2,</w:t>
                  </w:r>
                  <w:r>
                    <w:rPr>
                      <w:color w:val="000000"/>
                      <w:sz w:val="24"/>
                    </w:rPr>
                    <w:t xml:space="preserve">4,6,8,9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92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 xml:space="preserve">7. ОЦЕНОЧНЫЕ МАТЕРИАЛЫ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10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ind w:firstLine="621"/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Оценочные материалы для проведения текущего контроля и промежуточной аттестации представлены в Фонде оценочных средств для текущего контроля и промежуточной аттестации.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8. ПЕРЕЧЕНЬ ОСНОВНОЙ И ДОПОЛНИТЕЛЬНОЙ ЛИТЕРАТУРЫ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20" w:type="dxa"/>
                <w:right w:w="40" w:type="dxa"/>
                <w:bottom w:w="20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134"/>
            </w:tblGrid>
            <w:tr>
              <w:tblPrEx/>
              <w:trPr>
                <w:gridAfter w:val="1"/>
                <w:trHeight w:val="31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20" w:type="dxa"/>
                    <w:right w:w="40" w:type="dxa"/>
                    <w:bottom w:w="20" w:type="dxa"/>
                  </w:tcMar>
                  <w:tcW w:w="96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8"/>
                    </w:rPr>
                    <w:t xml:space="preserve">Основная учебная литература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8"/>
                    </w:rPr>
                    <w:t xml:space="preserve">1</w:t>
                  </w:r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070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Всемирная история: учебник для студентов вузов / под ред. Г.Б. Поляка, А.Н. Марковой. — 3-е изд., перераб. и доп. — М.: ЮНИТИ-ДАНА, 2017. - </w:t>
                  </w:r>
                  <w:r>
                    <w:rPr>
                      <w:color w:val="000000"/>
                      <w:sz w:val="28"/>
                    </w:rPr>
                    <w:t xml:space="preserve"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978-5-238-01493-7. - Текст: электронный. - </w:t>
                  </w:r>
                  <w:r>
                    <w:rPr>
                      <w:color w:val="000000"/>
                      <w:sz w:val="28"/>
                    </w:rPr>
                    <w:t xml:space="preserve">URL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 xml:space="preserve">https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://</w:t>
                  </w:r>
                  <w:r>
                    <w:rPr>
                      <w:color w:val="000000"/>
                      <w:sz w:val="28"/>
                    </w:rPr>
                    <w:t xml:space="preserve">znanium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com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/</w:t>
                  </w:r>
                  <w:r>
                    <w:rPr>
                      <w:color w:val="000000"/>
                      <w:sz w:val="28"/>
                    </w:rPr>
                    <w:t xml:space="preserve">catalog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/</w:t>
                  </w:r>
                  <w:r>
                    <w:rPr>
                      <w:color w:val="000000"/>
                      <w:sz w:val="28"/>
                    </w:rPr>
                    <w:t xml:space="preserve">product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/1028870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8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070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both"/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История России: Учебник / Ш.М. Мунчаев, В.М. Устинов.  7-</w:t>
                  </w:r>
                  <w:r>
                    <w:rPr>
                      <w:color w:val="000000"/>
                      <w:sz w:val="28"/>
                    </w:rPr>
                    <w:t xml:space="preserve">e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изд., перераб. и доп. — Москва: Норма: НИЦ ИНФРА?М, 2018. — 608 с.  </w:t>
                  </w:r>
                  <w:r>
                    <w:rPr>
                      <w:color w:val="000000"/>
                      <w:sz w:val="28"/>
                    </w:rPr>
                    <w:t xml:space="preserve">Текст: электронный. - URL: http://znanium.com/catalog/product/966207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8"/>
                    </w:rPr>
                    <w:t xml:space="preserve">3</w:t>
                  </w:r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070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Отечественная история: учебник / И.Н. Кузнецов. — М.: ИНФРА-М, 2018. — 639 с. — (Высшее образование). — Режим доступа: </w:t>
                  </w:r>
                  <w:r>
                    <w:rPr>
                      <w:color w:val="000000"/>
                      <w:sz w:val="28"/>
                    </w:rPr>
                    <w:t xml:space="preserve">http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://</w:t>
                  </w:r>
                  <w:r>
                    <w:rPr>
                      <w:color w:val="000000"/>
                      <w:sz w:val="28"/>
                    </w:rPr>
                    <w:t xml:space="preserve">znanium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com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/</w:t>
                  </w:r>
                  <w:r>
                    <w:rPr>
                      <w:color w:val="000000"/>
                      <w:sz w:val="28"/>
                    </w:rPr>
                    <w:t xml:space="preserve">go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php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?</w:t>
                  </w:r>
                  <w:r>
                    <w:rPr>
                      <w:color w:val="000000"/>
                      <w:sz w:val="28"/>
                    </w:rPr>
                    <w:t xml:space="preserve">id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=944062.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gridAfter w:val="1"/>
                <w:trHeight w:val="31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20" w:type="dxa"/>
                    <w:right w:w="40" w:type="dxa"/>
                    <w:bottom w:w="20" w:type="dxa"/>
                  </w:tcMar>
                  <w:tcW w:w="963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28"/>
                    </w:rPr>
                    <w:t xml:space="preserve">Дополнительная учебная литература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8"/>
                    </w:rPr>
                    <w:t xml:space="preserve">4</w:t>
                  </w:r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070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Деревянко А.П. История России: учеб. пособие  для  вузов / А.П. Деревянко, Н. А.  Шабельникова. — 3-е изд., перераб. и доп. — М.: Проспект, 2008. — 567с. — Библиогр.: с.558-565. — </w:t>
                  </w:r>
                  <w:r>
                    <w:rPr>
                      <w:color w:val="000000"/>
                      <w:sz w:val="28"/>
                    </w:rPr>
                    <w:t xml:space="preserve"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978-5-392-00122-4.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8"/>
                    </w:rPr>
                    <w:t xml:space="preserve">5</w:t>
                  </w:r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070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История для бакалавров: учебник для вузов / П.С. Самыгин и др. — 3-е изд., перераб. — Ростов н/Д: Феникс, 2014. — 575с. — (Высшее образование). — Библиогр.: с.575. — </w:t>
                  </w:r>
                  <w:r>
                    <w:rPr>
                      <w:color w:val="000000"/>
                      <w:sz w:val="28"/>
                    </w:rPr>
                    <w:t xml:space="preserve"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978-5-222-21494-7.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8"/>
                    </w:rPr>
                    <w:t xml:space="preserve">6</w:t>
                  </w:r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070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История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России в новейшее время,1985-2009 гг. : учебник для вузов / А.Б. Безбородов, Н.В. Елисеева, Т.Ю. Красовицкая [и др.]; отв. ред. А.Б. Безбородов; Рос.  гос. гуманит. ун-т, Историко-архивный ин-т. — М.: Проспект, 2010. — 440 с.: ил. — Библиогр.:с.435-438. — </w:t>
                  </w:r>
                  <w:r>
                    <w:rPr>
                      <w:color w:val="000000"/>
                      <w:sz w:val="28"/>
                    </w:rPr>
                    <w:t xml:space="preserve"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978-5-392-01153-7.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8"/>
                    </w:rPr>
                    <w:t xml:space="preserve">7</w:t>
                  </w:r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070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both"/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История Советского государства: становление, развитие, падение : учебник / Ш. М. Мунчаев. — М.: Норма: ИНФРА-М, 2017.— </w:t>
                  </w:r>
                  <w:r>
                    <w:rPr>
                      <w:color w:val="000000"/>
                      <w:sz w:val="28"/>
                    </w:rPr>
                    <w:t xml:space="preserve">304 с. — Режим доступа: http: // znanium.com/go.php?id=907494.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8"/>
                    </w:rPr>
                    <w:t xml:space="preserve">8</w:t>
                  </w:r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070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История: сб. заданий для семинарских занятий студентов всех направлений бакалавриата,спец.38.05.01Экономическая безопасность / ЧОУ ВО Центросоюза  РФ  СибУПК. — Новосибирск, 2015. — 92с.: ил. — Библиогр.: с.84-90.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66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right"/>
                  </w:pPr>
                  <w:r>
                    <w:rPr>
                      <w:color w:val="000000"/>
                      <w:sz w:val="28"/>
                    </w:rPr>
                    <w:t xml:space="preserve">9</w:t>
                  </w:r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070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both"/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Фортунатов В.В. История: учебное пособие для бакалавров/ В.В. Фортунатов. — СПб.: Питер, 2016. — 464 с.: ил. — (Учебное пособие. </w:t>
                  </w:r>
                  <w:r>
                    <w:rPr>
                      <w:color w:val="000000"/>
                      <w:sz w:val="28"/>
                    </w:rPr>
                    <w:t xml:space="preserve">Стандарт третьего поколения). — Библиогр.:с.463. — ISBN 978-5-496-00097-0.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272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9.  СОВРЕМЕННЫЕ ПРОФЕССИОНАЛЬНЫЕ БАЗЫ ДАННЫХ И ИНФОРМАЦИОННЫЕ СПРАВОЧНЫЕ СИСТЕМЫ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«От Руси Древней до Империи Российской»: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rus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-</w:t>
                  </w:r>
                  <w:r>
                    <w:rPr>
                      <w:color w:val="000000"/>
                      <w:sz w:val="28"/>
                    </w:rPr>
                    <w:t xml:space="preserve">hist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on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ufanet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/«Генштаб»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Единое окно доступа к образовательным ресурсам: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window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edu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Исторические источники. Библиотека МГУ: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hist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msu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/</w:t>
                  </w:r>
                  <w:r>
                    <w:rPr>
                      <w:color w:val="000000"/>
                      <w:sz w:val="28"/>
                    </w:rPr>
                    <w:t xml:space="preserve">ER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/</w:t>
                  </w:r>
                  <w:r>
                    <w:rPr>
                      <w:color w:val="000000"/>
                      <w:sz w:val="28"/>
                    </w:rPr>
                    <w:t xml:space="preserve">Etext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/</w:t>
                  </w:r>
                  <w:r>
                    <w:rPr>
                      <w:color w:val="000000"/>
                      <w:sz w:val="28"/>
                    </w:rPr>
                    <w:t xml:space="preserve">index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html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Исторический альманах "Лабиринт времени":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hist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Мир энциклопедий: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histori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elibrary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urait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com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Отечественная история: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lants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tellur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/</w:t>
                  </w:r>
                  <w:r>
                    <w:rPr>
                      <w:color w:val="000000"/>
                      <w:sz w:val="28"/>
                    </w:rPr>
                    <w:t xml:space="preserve">history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/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Официальный сайт Организации Объединенных Наций (ООН):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un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org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Поисковая система </w:t>
                  </w:r>
                  <w:r>
                    <w:rPr>
                      <w:color w:val="000000"/>
                      <w:sz w:val="28"/>
                    </w:rPr>
                    <w:t xml:space="preserve">Google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google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Поисковая система </w:t>
                  </w:r>
                  <w:r>
                    <w:rPr>
                      <w:color w:val="000000"/>
                      <w:sz w:val="28"/>
                    </w:rPr>
                    <w:t xml:space="preserve">Yandex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yandex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Русский биографический словарь: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rulex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Сайт исторических источников: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vostlit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info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Статьи по различным темам всемирной истории.: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world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-</w:t>
                  </w:r>
                  <w:r>
                    <w:rPr>
                      <w:color w:val="000000"/>
                      <w:sz w:val="28"/>
                    </w:rPr>
                    <w:t xml:space="preserve">history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Хронос: всемирная история в Интернете: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hrono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/</w:t>
                  </w:r>
                  <w:r>
                    <w:rPr>
                      <w:color w:val="000000"/>
                      <w:sz w:val="28"/>
                    </w:rPr>
                    <w:t xml:space="preserve">index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php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Электронная-библиотечная система: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znanium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com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294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10. ПЕРЕЧЕНЬ ЛИЦЕНЗИОННОГО И СВОБОДНО РАСПРОСТРАНЯЕМОГО ПРОГРАММНОГО ОБЕСПЕЧЕНИЯ, В ТОМ ЧИСЛЕ ОТЕЧЕСТВЕННОГО ПРОИЗВОДСТВА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18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</w:tblGrid>
            <w:tr>
              <w:tblPrEx/>
              <w:trPr>
                <w:gridAfter w:val="2"/>
                <w:trHeight w:val="260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8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30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Комплект лицензионного </w:t>
                    <w:br w:type="textWrapping" w:clear="all"/>
                    <w:t xml:space="preserve">программного обеспечения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4726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Комплект свободно распространяемого программного обеспечения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60"/>
              </w:trPr>
              <w:tc>
                <w:tcPr>
                  <w:tcBorders>
                    <w:lef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89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№</w:t>
                    <w:br w:type="textWrapping" w:clear="all"/>
                    <w:t xml:space="preserve">п/п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095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лицензионное программное обеспечение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211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лицензионное программное обеспечение отечественного производства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274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свободно распространяемое программное обеспечение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452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свободно распространяемое программное обеспечение отечественного производства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89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1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09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</w:rPr>
                    <w:t xml:space="preserve">Microsoft Office 365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21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</w:rPr>
                    <w:t xml:space="preserve">Антивирус Kaspersky Endpoint Security для бизнеса – Стандартный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274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</w:rPr>
                    <w:t xml:space="preserve">Adobe Acrobat Reader DC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452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</w:rPr>
                    <w:t xml:space="preserve">Яндекс.Браузер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89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09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</w:rPr>
                    <w:t xml:space="preserve">Microsoft PowerPoint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21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Электронный периодический справочник "Система Гарант"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274" w:type="dxa"/>
                  <w:vAlign w:val="top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</w:rPr>
                    <w:t xml:space="preserve">Архиватор 7z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452" w:type="dxa"/>
                  <w:vAlign w:val="top"/>
                  <w:vMerge w:val="restart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</w:rPr>
                    <w:t xml:space="preserve">Яндекс.Диск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589" w:type="dxa"/>
                  <w:vAlign w:val="center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color w:val="000000"/>
                      <w:sz w:val="24"/>
                    </w:rPr>
                    <w:t xml:space="preserve">3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095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</w:pPr>
                  <w:r>
                    <w:rPr>
                      <w:color w:val="000000"/>
                      <w:sz w:val="24"/>
                    </w:rPr>
                    <w:t xml:space="preserve">Microsoft Word</w:t>
                  </w:r>
                  <w:r/>
                </w:p>
              </w:tc>
              <w:tc>
                <w:tcPr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211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Электронный периодический справочник "Система Консультант Плюс"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274" w:type="dxa"/>
                  <w:vAlign w:val="top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  <w:tc>
                <w:tcPr>
                  <w:tcBorders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2452" w:type="dxa"/>
                  <w:vAlign w:val="top"/>
                  <w:vMerge w:val="continue"/>
                  <w:textDirection w:val="lrTb"/>
                  <w:noWrap w:val="false"/>
                </w:tcPr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27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 xml:space="preserve">11. МАТЕРИАЛЬНО-ТЕХНИЧЕСКОЕ ОБЕСПЕЧЕНИЕ</w:t>
                  </w:r>
                  <w:r/>
                </w:p>
              </w:tc>
            </w:tr>
          </w:tbl>
          <w:p>
            <w:pPr>
              <w:pStyle w:val="1002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12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</w:pPr>
            <w:r/>
            <w:r/>
          </w:p>
        </w:tc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40" w:type="dxa"/>
                <w:top w:w="40" w:type="dxa"/>
                <w:right w:w="40" w:type="dxa"/>
                <w:bottom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1002"/>
                    <w:ind w:firstLine="788"/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представляют собой учебные аудитории для проведения учебных занятий, предусмотренных программой бакалавриата, оснащенные оборудованием и техническими средствами обучения.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  <w:p>
                  <w:pPr>
                    <w:pStyle w:val="1002"/>
                    <w:ind w:firstLine="788"/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для самостоятельной работы обучающихся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университета.</w:t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  <w:p>
                  <w:pPr>
                    <w:pStyle w:val="1002"/>
                    <w:rPr>
                      <w:lang w:val="ru-RU"/>
                    </w:rPr>
                  </w:pP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1002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1268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006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</w:tbl>
    <w:sectPr>
      <w:footerReference w:type="default" r:id="rId8"/>
      <w:footerReference w:type="first" r:id="rId9"/>
      <w:footnotePr/>
      <w:endnotePr/>
      <w:type w:val="nextPage"/>
      <w:pgSz w:w="12179" w:h="16837" w:orient="portrait"/>
      <w:pgMar w:top="1133" w:right="850" w:bottom="992" w:left="1360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tblInd w:w="0" w:type="dxa"/>
      <w:tblLayout w:type="autofit"/>
      <w:tblCellMar>
        <w:left w:w="0" w:type="dxa"/>
        <w:top w:w="0" w:type="dxa"/>
        <w:right w:w="0" w:type="dxa"/>
        <w:bottom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>
      <w:tblPrEx/>
      <w:trPr/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8796" w:type="dxa"/>
          <w:vAlign w:val="top"/>
          <w:textDirection w:val="lrTb"/>
          <w:noWrap w:val="false"/>
        </w:tcPr>
        <w:p>
          <w:pPr>
            <w:pStyle w:val="1006"/>
          </w:pPr>
          <w:r/>
          <w:r/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708" w:type="dxa"/>
          <w:vAlign w:val="top"/>
          <w:textDirection w:val="lrTb"/>
          <w:noWrap w:val="false"/>
        </w:tcPr>
        <w:p>
          <w:pPr>
            <w:pStyle w:val="1006"/>
          </w:pPr>
          <w:r/>
          <w:r/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463" w:type="dxa"/>
          <w:vAlign w:val="top"/>
          <w:textDirection w:val="lrTb"/>
          <w:noWrap w:val="false"/>
        </w:tcPr>
        <w:p>
          <w:pPr>
            <w:pStyle w:val="1006"/>
          </w:pPr>
          <w:r/>
          <w:r/>
        </w:p>
      </w:tc>
    </w:tr>
    <w:tr>
      <w:tblPrEx/>
      <w:trPr/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8796" w:type="dxa"/>
          <w:vAlign w:val="top"/>
          <w:textDirection w:val="lrTb"/>
          <w:noWrap w:val="false"/>
        </w:tcPr>
        <w:p>
          <w:pPr>
            <w:pStyle w:val="1006"/>
          </w:pPr>
          <w:r/>
          <w:r/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708" w:type="dxa"/>
          <w:vAlign w:val="top"/>
          <w:textDirection w:val="lrTb"/>
          <w:noWrap w:val="false"/>
        </w:tcPr>
        <w:tbl>
          <w:tblPr>
            <w:tblW w:w="0" w:type="auto"/>
            <w:tblInd w:w="0" w:type="dxa"/>
            <w:tblLayout w:type="autofit"/>
            <w:tblCellMar>
              <w:left w:w="40" w:type="dxa"/>
              <w:top w:w="40" w:type="dxa"/>
              <w:right w:w="40" w:type="dxa"/>
              <w:bottom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>
            <w:tblPrEx/>
            <w:trPr>
              <w:trHeight w:val="345"/>
            </w:trPr>
            <w:tc>
              <w:tcPr>
                <w:tc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</w:tcBorders>
                <w:tcMar>
                  <w:left w:w="40" w:type="dxa"/>
                  <w:top w:w="40" w:type="dxa"/>
                  <w:right w:w="40" w:type="dxa"/>
                  <w:bottom w:w="40" w:type="dxa"/>
                </w:tcMar>
                <w:tcW w:w="708" w:type="dxa"/>
                <w:vAlign w:val="top"/>
                <w:textDirection w:val="lrTb"/>
                <w:noWrap w:val="false"/>
              </w:tcPr>
              <w:p>
                <w:pPr>
                  <w:pStyle w:val="1002"/>
                </w:pPr>
                <w:r/>
                <w:r/>
              </w:p>
            </w:tc>
          </w:tr>
        </w:tbl>
        <w:p>
          <w:pPr>
            <w:pStyle w:val="1002"/>
          </w:pPr>
          <w:r/>
          <w:r/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463" w:type="dxa"/>
          <w:vAlign w:val="top"/>
          <w:textDirection w:val="lrTb"/>
          <w:noWrap w:val="false"/>
        </w:tcPr>
        <w:p>
          <w:pPr>
            <w:pStyle w:val="1006"/>
          </w:pPr>
          <w:r/>
          <w:r/>
        </w:p>
      </w:tc>
    </w:tr>
  </w:tbl>
  <w:p>
    <w:pPr>
      <w:pStyle w:val="100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tblInd w:w="0" w:type="dxa"/>
      <w:tblLayout w:type="autofit"/>
      <w:tblCellMar>
        <w:left w:w="0" w:type="dxa"/>
        <w:top w:w="0" w:type="dxa"/>
        <w:right w:w="0" w:type="dxa"/>
        <w:bottom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>
      <w:tblPrEx/>
      <w:trPr/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8796" w:type="dxa"/>
          <w:vAlign w:val="top"/>
          <w:textDirection w:val="lrTb"/>
          <w:noWrap w:val="false"/>
        </w:tcPr>
        <w:p>
          <w:pPr>
            <w:pStyle w:val="1006"/>
          </w:pPr>
          <w:r/>
          <w:r/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708" w:type="dxa"/>
          <w:vAlign w:val="top"/>
          <w:textDirection w:val="lrTb"/>
          <w:noWrap w:val="false"/>
        </w:tcPr>
        <w:p>
          <w:pPr>
            <w:pStyle w:val="1006"/>
          </w:pPr>
          <w:r/>
          <w:r/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463" w:type="dxa"/>
          <w:vAlign w:val="top"/>
          <w:textDirection w:val="lrTb"/>
          <w:noWrap w:val="false"/>
        </w:tcPr>
        <w:p>
          <w:pPr>
            <w:pStyle w:val="1006"/>
          </w:pPr>
          <w:r/>
          <w:r/>
        </w:p>
      </w:tc>
    </w:tr>
    <w:tr>
      <w:tblPrEx/>
      <w:trPr/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8796" w:type="dxa"/>
          <w:vAlign w:val="top"/>
          <w:textDirection w:val="lrTb"/>
          <w:noWrap w:val="false"/>
        </w:tcPr>
        <w:p>
          <w:pPr>
            <w:pStyle w:val="1006"/>
          </w:pPr>
          <w:r/>
          <w:r/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708" w:type="dxa"/>
          <w:vAlign w:val="top"/>
          <w:textDirection w:val="lrTb"/>
          <w:noWrap w:val="false"/>
        </w:tcPr>
        <w:tbl>
          <w:tblPr>
            <w:tblW w:w="0" w:type="auto"/>
            <w:tblInd w:w="0" w:type="dxa"/>
            <w:tblLayout w:type="autofit"/>
            <w:tblCellMar>
              <w:left w:w="40" w:type="dxa"/>
              <w:top w:w="40" w:type="dxa"/>
              <w:right w:w="40" w:type="dxa"/>
              <w:bottom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>
            <w:tblPrEx/>
            <w:trPr>
              <w:trHeight w:val="345"/>
            </w:trPr>
            <w:tc>
              <w:tcPr>
                <w:tc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</w:tcBorders>
                <w:tcMar>
                  <w:left w:w="40" w:type="dxa"/>
                  <w:top w:w="40" w:type="dxa"/>
                  <w:right w:w="40" w:type="dxa"/>
                  <w:bottom w:w="40" w:type="dxa"/>
                </w:tcMar>
                <w:tcW w:w="708" w:type="dxa"/>
                <w:vAlign w:val="top"/>
                <w:textDirection w:val="lrTb"/>
                <w:noWrap w:val="false"/>
              </w:tcPr>
              <w:p>
                <w:pPr>
                  <w:pStyle w:val="1002"/>
                </w:pPr>
                <w:r/>
                <w:r/>
              </w:p>
            </w:tc>
          </w:tr>
        </w:tbl>
        <w:p>
          <w:pPr>
            <w:pStyle w:val="1002"/>
          </w:pPr>
          <w:r/>
          <w:r/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463" w:type="dxa"/>
          <w:vAlign w:val="top"/>
          <w:textDirection w:val="lrTb"/>
          <w:noWrap w:val="false"/>
        </w:tcPr>
        <w:p>
          <w:pPr>
            <w:pStyle w:val="1006"/>
          </w:pPr>
          <w:r/>
          <w:r/>
        </w:p>
      </w:tc>
    </w:tr>
  </w:tbl>
  <w:p>
    <w:pPr>
      <w:pStyle w:val="100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24">
    <w:name w:val="Heading 1"/>
    <w:basedOn w:val="1002"/>
    <w:next w:val="1002"/>
    <w:link w:val="82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25">
    <w:name w:val="Heading 1 Char"/>
    <w:link w:val="824"/>
    <w:uiPriority w:val="9"/>
    <w:rPr>
      <w:rFonts w:ascii="Arial" w:hAnsi="Arial" w:eastAsia="Arial" w:cs="Arial"/>
      <w:sz w:val="40"/>
      <w:szCs w:val="40"/>
    </w:rPr>
  </w:style>
  <w:style w:type="paragraph" w:styleId="826">
    <w:name w:val="Heading 2"/>
    <w:basedOn w:val="1002"/>
    <w:next w:val="1002"/>
    <w:link w:val="82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27">
    <w:name w:val="Heading 2 Char"/>
    <w:link w:val="826"/>
    <w:uiPriority w:val="9"/>
    <w:rPr>
      <w:rFonts w:ascii="Arial" w:hAnsi="Arial" w:eastAsia="Arial" w:cs="Arial"/>
      <w:sz w:val="34"/>
    </w:rPr>
  </w:style>
  <w:style w:type="paragraph" w:styleId="828">
    <w:name w:val="Heading 3"/>
    <w:basedOn w:val="1002"/>
    <w:next w:val="1002"/>
    <w:link w:val="82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29">
    <w:name w:val="Heading 3 Char"/>
    <w:link w:val="828"/>
    <w:uiPriority w:val="9"/>
    <w:rPr>
      <w:rFonts w:ascii="Arial" w:hAnsi="Arial" w:eastAsia="Arial" w:cs="Arial"/>
      <w:sz w:val="30"/>
      <w:szCs w:val="30"/>
    </w:rPr>
  </w:style>
  <w:style w:type="paragraph" w:styleId="830">
    <w:name w:val="Heading 4"/>
    <w:basedOn w:val="1002"/>
    <w:next w:val="1002"/>
    <w:link w:val="83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31">
    <w:name w:val="Heading 4 Char"/>
    <w:link w:val="830"/>
    <w:uiPriority w:val="9"/>
    <w:rPr>
      <w:rFonts w:ascii="Arial" w:hAnsi="Arial" w:eastAsia="Arial" w:cs="Arial"/>
      <w:b/>
      <w:bCs/>
      <w:sz w:val="26"/>
      <w:szCs w:val="26"/>
    </w:rPr>
  </w:style>
  <w:style w:type="paragraph" w:styleId="832">
    <w:name w:val="Heading 5"/>
    <w:basedOn w:val="1002"/>
    <w:next w:val="1002"/>
    <w:link w:val="83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33">
    <w:name w:val="Heading 5 Char"/>
    <w:link w:val="832"/>
    <w:uiPriority w:val="9"/>
    <w:rPr>
      <w:rFonts w:ascii="Arial" w:hAnsi="Arial" w:eastAsia="Arial" w:cs="Arial"/>
      <w:b/>
      <w:bCs/>
      <w:sz w:val="24"/>
      <w:szCs w:val="24"/>
    </w:rPr>
  </w:style>
  <w:style w:type="paragraph" w:styleId="834">
    <w:name w:val="Heading 6"/>
    <w:basedOn w:val="1002"/>
    <w:next w:val="1002"/>
    <w:link w:val="83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35">
    <w:name w:val="Heading 6 Char"/>
    <w:link w:val="834"/>
    <w:uiPriority w:val="9"/>
    <w:rPr>
      <w:rFonts w:ascii="Arial" w:hAnsi="Arial" w:eastAsia="Arial" w:cs="Arial"/>
      <w:b/>
      <w:bCs/>
      <w:sz w:val="22"/>
      <w:szCs w:val="22"/>
    </w:rPr>
  </w:style>
  <w:style w:type="paragraph" w:styleId="836">
    <w:name w:val="Heading 7"/>
    <w:basedOn w:val="1002"/>
    <w:next w:val="1002"/>
    <w:link w:val="8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37">
    <w:name w:val="Heading 7 Char"/>
    <w:link w:val="8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38">
    <w:name w:val="Heading 8"/>
    <w:basedOn w:val="1002"/>
    <w:next w:val="1002"/>
    <w:link w:val="83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39">
    <w:name w:val="Heading 8 Char"/>
    <w:link w:val="838"/>
    <w:uiPriority w:val="9"/>
    <w:rPr>
      <w:rFonts w:ascii="Arial" w:hAnsi="Arial" w:eastAsia="Arial" w:cs="Arial"/>
      <w:i/>
      <w:iCs/>
      <w:sz w:val="22"/>
      <w:szCs w:val="22"/>
    </w:rPr>
  </w:style>
  <w:style w:type="paragraph" w:styleId="840">
    <w:name w:val="Heading 9"/>
    <w:basedOn w:val="1002"/>
    <w:next w:val="1002"/>
    <w:link w:val="84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41">
    <w:name w:val="Heading 9 Char"/>
    <w:link w:val="840"/>
    <w:uiPriority w:val="9"/>
    <w:rPr>
      <w:rFonts w:ascii="Arial" w:hAnsi="Arial" w:eastAsia="Arial" w:cs="Arial"/>
      <w:i/>
      <w:iCs/>
      <w:sz w:val="21"/>
      <w:szCs w:val="21"/>
    </w:rPr>
  </w:style>
  <w:style w:type="paragraph" w:styleId="842">
    <w:name w:val="List Paragraph"/>
    <w:basedOn w:val="1002"/>
    <w:uiPriority w:val="34"/>
    <w:qFormat/>
    <w:pPr>
      <w:contextualSpacing/>
      <w:ind w:left="720"/>
    </w:pPr>
  </w:style>
  <w:style w:type="paragraph" w:styleId="843">
    <w:name w:val="No Spacing"/>
    <w:uiPriority w:val="1"/>
    <w:qFormat/>
    <w:pPr>
      <w:spacing w:before="0" w:after="0" w:line="240" w:lineRule="auto"/>
    </w:pPr>
  </w:style>
  <w:style w:type="paragraph" w:styleId="844">
    <w:name w:val="Title"/>
    <w:basedOn w:val="1002"/>
    <w:next w:val="1002"/>
    <w:link w:val="84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45">
    <w:name w:val="Title Char"/>
    <w:link w:val="844"/>
    <w:uiPriority w:val="10"/>
    <w:rPr>
      <w:sz w:val="48"/>
      <w:szCs w:val="48"/>
    </w:rPr>
  </w:style>
  <w:style w:type="paragraph" w:styleId="846">
    <w:name w:val="Subtitle"/>
    <w:basedOn w:val="1002"/>
    <w:next w:val="1002"/>
    <w:link w:val="847"/>
    <w:uiPriority w:val="11"/>
    <w:qFormat/>
    <w:pPr>
      <w:spacing w:before="200" w:after="200"/>
    </w:pPr>
    <w:rPr>
      <w:sz w:val="24"/>
      <w:szCs w:val="24"/>
    </w:rPr>
  </w:style>
  <w:style w:type="character" w:styleId="847">
    <w:name w:val="Subtitle Char"/>
    <w:link w:val="846"/>
    <w:uiPriority w:val="11"/>
    <w:rPr>
      <w:sz w:val="24"/>
      <w:szCs w:val="24"/>
    </w:rPr>
  </w:style>
  <w:style w:type="paragraph" w:styleId="848">
    <w:name w:val="Quote"/>
    <w:basedOn w:val="1002"/>
    <w:next w:val="1002"/>
    <w:link w:val="849"/>
    <w:uiPriority w:val="29"/>
    <w:qFormat/>
    <w:pPr>
      <w:ind w:left="720" w:right="720"/>
    </w:pPr>
    <w:rPr>
      <w:i/>
    </w:rPr>
  </w:style>
  <w:style w:type="character" w:styleId="849">
    <w:name w:val="Quote Char"/>
    <w:link w:val="848"/>
    <w:uiPriority w:val="29"/>
    <w:rPr>
      <w:i/>
    </w:rPr>
  </w:style>
  <w:style w:type="paragraph" w:styleId="850">
    <w:name w:val="Intense Quote"/>
    <w:basedOn w:val="1002"/>
    <w:next w:val="1002"/>
    <w:link w:val="85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51">
    <w:name w:val="Intense Quote Char"/>
    <w:link w:val="850"/>
    <w:uiPriority w:val="30"/>
    <w:rPr>
      <w:i/>
    </w:rPr>
  </w:style>
  <w:style w:type="paragraph" w:styleId="852">
    <w:name w:val="Header"/>
    <w:basedOn w:val="1002"/>
    <w:link w:val="85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53">
    <w:name w:val="Header Char"/>
    <w:link w:val="852"/>
    <w:uiPriority w:val="99"/>
  </w:style>
  <w:style w:type="paragraph" w:styleId="854">
    <w:name w:val="Footer"/>
    <w:basedOn w:val="1002"/>
    <w:link w:val="85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55">
    <w:name w:val="Footer Char"/>
    <w:link w:val="854"/>
    <w:uiPriority w:val="99"/>
  </w:style>
  <w:style w:type="paragraph" w:styleId="856">
    <w:name w:val="Caption"/>
    <w:basedOn w:val="1002"/>
    <w:next w:val="1002"/>
    <w:link w:val="8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57">
    <w:name w:val="Caption Char"/>
    <w:link w:val="856"/>
    <w:uiPriority w:val="35"/>
    <w:rPr>
      <w:b/>
      <w:bCs/>
      <w:color w:val="4f81bd" w:themeColor="accent1"/>
      <w:sz w:val="18"/>
      <w:szCs w:val="18"/>
    </w:rPr>
  </w:style>
  <w:style w:type="table" w:styleId="85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6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6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6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8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8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9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9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9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9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9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9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9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0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0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0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0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0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2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2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2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2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2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2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2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4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4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4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4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4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4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4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5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5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5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5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5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5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5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5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5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5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6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6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6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6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6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6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6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6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6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6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7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7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7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7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7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7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7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7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7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7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8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8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8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8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84">
    <w:name w:val="Hyperlink"/>
    <w:uiPriority w:val="99"/>
    <w:unhideWhenUsed/>
    <w:rPr>
      <w:color w:val="0000ff" w:themeColor="hyperlink"/>
      <w:u w:val="single"/>
    </w:rPr>
  </w:style>
  <w:style w:type="paragraph" w:styleId="985">
    <w:name w:val="footnote text"/>
    <w:basedOn w:val="1002"/>
    <w:link w:val="986"/>
    <w:uiPriority w:val="99"/>
    <w:semiHidden/>
    <w:unhideWhenUsed/>
    <w:pPr>
      <w:spacing w:after="40" w:line="240" w:lineRule="auto"/>
    </w:pPr>
    <w:rPr>
      <w:sz w:val="18"/>
    </w:rPr>
  </w:style>
  <w:style w:type="character" w:styleId="986">
    <w:name w:val="Footnote Text Char"/>
    <w:link w:val="985"/>
    <w:uiPriority w:val="99"/>
    <w:rPr>
      <w:sz w:val="18"/>
    </w:rPr>
  </w:style>
  <w:style w:type="character" w:styleId="987">
    <w:name w:val="footnote reference"/>
    <w:uiPriority w:val="99"/>
    <w:unhideWhenUsed/>
    <w:rPr>
      <w:vertAlign w:val="superscript"/>
    </w:rPr>
  </w:style>
  <w:style w:type="paragraph" w:styleId="988">
    <w:name w:val="endnote text"/>
    <w:basedOn w:val="1002"/>
    <w:link w:val="989"/>
    <w:uiPriority w:val="99"/>
    <w:semiHidden/>
    <w:unhideWhenUsed/>
    <w:pPr>
      <w:spacing w:after="0" w:line="240" w:lineRule="auto"/>
    </w:pPr>
    <w:rPr>
      <w:sz w:val="20"/>
    </w:rPr>
  </w:style>
  <w:style w:type="character" w:styleId="989">
    <w:name w:val="Endnote Text Char"/>
    <w:link w:val="988"/>
    <w:uiPriority w:val="99"/>
    <w:rPr>
      <w:sz w:val="20"/>
    </w:rPr>
  </w:style>
  <w:style w:type="character" w:styleId="990">
    <w:name w:val="endnote reference"/>
    <w:uiPriority w:val="99"/>
    <w:semiHidden/>
    <w:unhideWhenUsed/>
    <w:rPr>
      <w:vertAlign w:val="superscript"/>
    </w:rPr>
  </w:style>
  <w:style w:type="paragraph" w:styleId="991">
    <w:name w:val="toc 1"/>
    <w:basedOn w:val="1002"/>
    <w:next w:val="1002"/>
    <w:uiPriority w:val="39"/>
    <w:unhideWhenUsed/>
    <w:pPr>
      <w:ind w:left="0" w:right="0" w:firstLine="0"/>
      <w:spacing w:after="57"/>
    </w:pPr>
  </w:style>
  <w:style w:type="paragraph" w:styleId="992">
    <w:name w:val="toc 2"/>
    <w:basedOn w:val="1002"/>
    <w:next w:val="1002"/>
    <w:uiPriority w:val="39"/>
    <w:unhideWhenUsed/>
    <w:pPr>
      <w:ind w:left="283" w:right="0" w:firstLine="0"/>
      <w:spacing w:after="57"/>
    </w:pPr>
  </w:style>
  <w:style w:type="paragraph" w:styleId="993">
    <w:name w:val="toc 3"/>
    <w:basedOn w:val="1002"/>
    <w:next w:val="1002"/>
    <w:uiPriority w:val="39"/>
    <w:unhideWhenUsed/>
    <w:pPr>
      <w:ind w:left="567" w:right="0" w:firstLine="0"/>
      <w:spacing w:after="57"/>
    </w:pPr>
  </w:style>
  <w:style w:type="paragraph" w:styleId="994">
    <w:name w:val="toc 4"/>
    <w:basedOn w:val="1002"/>
    <w:next w:val="1002"/>
    <w:uiPriority w:val="39"/>
    <w:unhideWhenUsed/>
    <w:pPr>
      <w:ind w:left="850" w:right="0" w:firstLine="0"/>
      <w:spacing w:after="57"/>
    </w:pPr>
  </w:style>
  <w:style w:type="paragraph" w:styleId="995">
    <w:name w:val="toc 5"/>
    <w:basedOn w:val="1002"/>
    <w:next w:val="1002"/>
    <w:uiPriority w:val="39"/>
    <w:unhideWhenUsed/>
    <w:pPr>
      <w:ind w:left="1134" w:right="0" w:firstLine="0"/>
      <w:spacing w:after="57"/>
    </w:pPr>
  </w:style>
  <w:style w:type="paragraph" w:styleId="996">
    <w:name w:val="toc 6"/>
    <w:basedOn w:val="1002"/>
    <w:next w:val="1002"/>
    <w:uiPriority w:val="39"/>
    <w:unhideWhenUsed/>
    <w:pPr>
      <w:ind w:left="1417" w:right="0" w:firstLine="0"/>
      <w:spacing w:after="57"/>
    </w:pPr>
  </w:style>
  <w:style w:type="paragraph" w:styleId="997">
    <w:name w:val="toc 7"/>
    <w:basedOn w:val="1002"/>
    <w:next w:val="1002"/>
    <w:uiPriority w:val="39"/>
    <w:unhideWhenUsed/>
    <w:pPr>
      <w:ind w:left="1701" w:right="0" w:firstLine="0"/>
      <w:spacing w:after="57"/>
    </w:pPr>
  </w:style>
  <w:style w:type="paragraph" w:styleId="998">
    <w:name w:val="toc 8"/>
    <w:basedOn w:val="1002"/>
    <w:next w:val="1002"/>
    <w:uiPriority w:val="39"/>
    <w:unhideWhenUsed/>
    <w:pPr>
      <w:ind w:left="1984" w:right="0" w:firstLine="0"/>
      <w:spacing w:after="57"/>
    </w:pPr>
  </w:style>
  <w:style w:type="paragraph" w:styleId="999">
    <w:name w:val="toc 9"/>
    <w:basedOn w:val="1002"/>
    <w:next w:val="1002"/>
    <w:uiPriority w:val="39"/>
    <w:unhideWhenUsed/>
    <w:pPr>
      <w:ind w:left="2268" w:right="0" w:firstLine="0"/>
      <w:spacing w:after="57"/>
    </w:pPr>
  </w:style>
  <w:style w:type="paragraph" w:styleId="1000">
    <w:name w:val="TOC Heading"/>
    <w:uiPriority w:val="39"/>
    <w:unhideWhenUsed/>
  </w:style>
  <w:style w:type="paragraph" w:styleId="1001">
    <w:name w:val="table of figures"/>
    <w:basedOn w:val="1002"/>
    <w:next w:val="1002"/>
    <w:uiPriority w:val="99"/>
    <w:unhideWhenUsed/>
    <w:pPr>
      <w:spacing w:after="0" w:afterAutospacing="0"/>
    </w:pPr>
  </w:style>
  <w:style w:type="paragraph" w:styleId="1002" w:default="1">
    <w:name w:val="Normal"/>
    <w:next w:val="1002"/>
    <w:link w:val="1002"/>
    <w:qFormat/>
    <w:rPr>
      <w:lang w:val="en-US" w:eastAsia="en-US" w:bidi="ar-SA"/>
    </w:rPr>
  </w:style>
  <w:style w:type="character" w:styleId="1003">
    <w:name w:val="Основной шрифт абзаца"/>
    <w:next w:val="1003"/>
    <w:link w:val="1002"/>
    <w:semiHidden/>
  </w:style>
  <w:style w:type="table" w:styleId="1004">
    <w:name w:val="Обычная таблица"/>
    <w:next w:val="1004"/>
    <w:link w:val="1002"/>
    <w:uiPriority w:val="99"/>
    <w:semiHidden/>
    <w:unhideWhenUsed/>
    <w:tblPr/>
  </w:style>
  <w:style w:type="numbering" w:styleId="1005">
    <w:name w:val="Нет списка"/>
    <w:next w:val="1005"/>
    <w:link w:val="1002"/>
    <w:uiPriority w:val="99"/>
    <w:semiHidden/>
    <w:unhideWhenUsed/>
  </w:style>
  <w:style w:type="paragraph" w:styleId="1006">
    <w:name w:val="EmptyLayoutCell"/>
    <w:basedOn w:val="1002"/>
    <w:next w:val="1006"/>
    <w:link w:val="1002"/>
    <w:rPr>
      <w:sz w:val="2"/>
    </w:rPr>
  </w:style>
  <w:style w:type="character" w:styleId="1007" w:default="1">
    <w:name w:val="Default Paragraph Font"/>
    <w:uiPriority w:val="1"/>
    <w:semiHidden/>
    <w:unhideWhenUsed/>
  </w:style>
  <w:style w:type="numbering" w:styleId="1008" w:default="1">
    <w:name w:val="No List"/>
    <w:uiPriority w:val="99"/>
    <w:semiHidden/>
    <w:unhideWhenUsed/>
  </w:style>
  <w:style w:type="table" w:styleId="100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footer" Target="footer2.xml" /><Relationship Id="rId10" Type="http://schemas.openxmlformats.org/officeDocument/2006/relationships/image" Target="media/image1.png"/><Relationship Id="rId11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RPD</dc:title>
  <dc:creator>Татьяна</dc:creator>
  <cp:lastModifiedBy>Ирина Колдунова</cp:lastModifiedBy>
  <cp:revision>10</cp:revision>
  <dcterms:created xsi:type="dcterms:W3CDTF">2007-01-02T11:05:00Z</dcterms:created>
  <dcterms:modified xsi:type="dcterms:W3CDTF">2026-04-18T04:46:31Z</dcterms:modified>
  <cp:version>917504</cp:version>
</cp:coreProperties>
</file>